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D253" w14:textId="4ACFEF28" w:rsidR="00984108" w:rsidRDefault="00984108" w:rsidP="00984108">
      <w:pPr>
        <w:jc w:val="center"/>
        <w:rPr>
          <w:b/>
          <w:bCs/>
          <w:sz w:val="36"/>
          <w:szCs w:val="36"/>
        </w:rPr>
      </w:pPr>
      <w:r>
        <w:rPr>
          <w:b/>
          <w:bCs/>
          <w:sz w:val="36"/>
          <w:szCs w:val="36"/>
        </w:rPr>
        <w:t>Hip Fractures</w:t>
      </w:r>
    </w:p>
    <w:p w14:paraId="550F90B4" w14:textId="77777777" w:rsidR="00984108" w:rsidRPr="00984108" w:rsidRDefault="00984108" w:rsidP="00984108">
      <w:pPr>
        <w:numPr>
          <w:ilvl w:val="0"/>
          <w:numId w:val="1"/>
        </w:numPr>
      </w:pPr>
      <w:r w:rsidRPr="00984108">
        <w:t>Each year at least 300,000 older people are </w:t>
      </w:r>
      <w:hyperlink r:id="rId5" w:history="1">
        <w:r w:rsidRPr="00984108">
          <w:rPr>
            <w:rStyle w:val="Hyperlink"/>
          </w:rPr>
          <w:t>hospitalized for hip fractures</w:t>
        </w:r>
      </w:hyperlink>
      <w:r w:rsidRPr="00984108">
        <w:t>.</w:t>
      </w:r>
    </w:p>
    <w:p w14:paraId="26169CB9" w14:textId="1E34725C" w:rsidR="00984108" w:rsidRDefault="00984108" w:rsidP="00984108">
      <w:hyperlink r:id="rId6" w:history="1">
        <w:r w:rsidRPr="00E75330">
          <w:rPr>
            <w:rStyle w:val="Hyperlink"/>
          </w:rPr>
          <w:t>https://www.cdc.gov/injury/features/older-adult-falls/index.html</w:t>
        </w:r>
      </w:hyperlink>
    </w:p>
    <w:p w14:paraId="076B4FA6" w14:textId="77777777" w:rsidR="00984108" w:rsidRPr="00984108" w:rsidRDefault="00984108" w:rsidP="00984108">
      <w:pPr>
        <w:rPr>
          <w:b/>
          <w:bCs/>
        </w:rPr>
      </w:pPr>
      <w:r w:rsidRPr="00984108">
        <w:rPr>
          <w:b/>
          <w:bCs/>
        </w:rPr>
        <w:t>Hip Fractures Among Older Adults</w:t>
      </w:r>
    </w:p>
    <w:p w14:paraId="4AF68E09" w14:textId="77777777" w:rsidR="00984108" w:rsidRPr="00984108" w:rsidRDefault="00984108" w:rsidP="00984108">
      <w:pPr>
        <w:numPr>
          <w:ilvl w:val="0"/>
          <w:numId w:val="2"/>
        </w:numPr>
      </w:pPr>
      <w:r w:rsidRPr="00984108">
        <w:t>More than 95% of hip fractures are caused by falling,</w:t>
      </w:r>
      <w:r w:rsidRPr="00984108">
        <w:rPr>
          <w:vertAlign w:val="superscript"/>
        </w:rPr>
        <w:t>2</w:t>
      </w:r>
      <w:r w:rsidRPr="00984108">
        <w:t> usually by falling sideways.</w:t>
      </w:r>
      <w:r w:rsidRPr="00984108">
        <w:rPr>
          <w:vertAlign w:val="superscript"/>
        </w:rPr>
        <w:t>3</w:t>
      </w:r>
    </w:p>
    <w:p w14:paraId="295416F0" w14:textId="77777777" w:rsidR="00984108" w:rsidRDefault="00984108" w:rsidP="00984108">
      <w:pPr>
        <w:pStyle w:val="ListParagraph"/>
        <w:numPr>
          <w:ilvl w:val="0"/>
          <w:numId w:val="2"/>
        </w:numPr>
      </w:pPr>
      <w:r>
        <w:t>Women experience three-quarters of all hip fractures.1</w:t>
      </w:r>
    </w:p>
    <w:p w14:paraId="1A00CD88" w14:textId="77777777" w:rsidR="00984108" w:rsidRDefault="00984108" w:rsidP="00984108">
      <w:pPr>
        <w:pStyle w:val="ListParagraph"/>
        <w:numPr>
          <w:ilvl w:val="0"/>
          <w:numId w:val="2"/>
        </w:numPr>
      </w:pPr>
      <w:r>
        <w:t>Women fall more often than men.</w:t>
      </w:r>
    </w:p>
    <w:p w14:paraId="2BD993CE" w14:textId="77777777" w:rsidR="00984108" w:rsidRDefault="00984108" w:rsidP="00984108">
      <w:pPr>
        <w:pStyle w:val="ListParagraph"/>
        <w:numPr>
          <w:ilvl w:val="0"/>
          <w:numId w:val="2"/>
        </w:numPr>
      </w:pPr>
      <w:r>
        <w:t>Women more often have osteoporosis, a disease that weakens bones and makes them more likely to break.</w:t>
      </w:r>
    </w:p>
    <w:p w14:paraId="48626761" w14:textId="49673BEA" w:rsidR="00984108" w:rsidRDefault="00984108" w:rsidP="00984108">
      <w:pPr>
        <w:pStyle w:val="ListParagraph"/>
        <w:numPr>
          <w:ilvl w:val="0"/>
          <w:numId w:val="2"/>
        </w:numPr>
      </w:pPr>
      <w:r>
        <w:t>The chances of breaking your hip go up as you get older.</w:t>
      </w:r>
    </w:p>
    <w:p w14:paraId="18725162" w14:textId="77777777" w:rsidR="00FB3CD6" w:rsidRDefault="00FB3CD6" w:rsidP="00FB3CD6"/>
    <w:p w14:paraId="153D81CB" w14:textId="3D980CBA" w:rsidR="00984108" w:rsidRDefault="00FB3CD6" w:rsidP="00984108">
      <w:pPr>
        <w:rPr>
          <w:b/>
          <w:bCs/>
        </w:rPr>
      </w:pPr>
      <w:r w:rsidRPr="00FB3CD6">
        <w:rPr>
          <w:b/>
          <w:bCs/>
        </w:rPr>
        <w:t>Percent of Nonfatal Fall Hospitalizations by Discharge Disposition, Ages 65 and older—Florida, 2014</w:t>
      </w:r>
    </w:p>
    <w:p w14:paraId="7066253E" w14:textId="77777777" w:rsidR="00FB3CD6" w:rsidRDefault="00FB3CD6" w:rsidP="00984108">
      <w:r w:rsidRPr="00FB3CD6">
        <w:sym w:font="Symbol" w:char="F0B7"/>
      </w:r>
      <w:r w:rsidRPr="00FB3CD6">
        <w:t xml:space="preserve"> Fifty-six percent of all fall hospitalizations were discharged to a skilled nursing facility. </w:t>
      </w:r>
    </w:p>
    <w:p w14:paraId="03D6165C" w14:textId="77777777" w:rsidR="00FB3CD6" w:rsidRDefault="00FB3CD6" w:rsidP="00984108">
      <w:r w:rsidRPr="00FB3CD6">
        <w:sym w:font="Symbol" w:char="F0B7"/>
      </w:r>
      <w:r w:rsidRPr="00FB3CD6">
        <w:t xml:space="preserve"> Among falls resulting in a hip fracture, 70 percent were discharged to a skilled nursing facility and 16 percent discharged to a rehabilitation facility.1 </w:t>
      </w:r>
    </w:p>
    <w:p w14:paraId="0D2D02AE" w14:textId="7F4922FE" w:rsidR="00FB3CD6" w:rsidRDefault="00FB3CD6" w:rsidP="00984108">
      <w:r w:rsidRPr="00FB3CD6">
        <w:sym w:font="Symbol" w:char="F0B7"/>
      </w:r>
      <w:r w:rsidRPr="00FB3CD6">
        <w:t xml:space="preserve"> Among those with a hip fracture, only 3 percent had a routine discharge to home and 6 percent were discharged home with home health services.</w:t>
      </w:r>
    </w:p>
    <w:p w14:paraId="33D077D0" w14:textId="0BEF0BE6" w:rsidR="00242906" w:rsidRDefault="00242906" w:rsidP="00984108">
      <w:hyperlink r:id="rId7" w:history="1">
        <w:r w:rsidRPr="00E75330">
          <w:rPr>
            <w:rStyle w:val="Hyperlink"/>
          </w:rPr>
          <w:t>http://www.floridahealth.gov/statistics-and-data/florida-injury-surveillance-system/_documents/older-adult-falls-emphasis-report-2014.pdf</w:t>
        </w:r>
      </w:hyperlink>
    </w:p>
    <w:p w14:paraId="3476DE56" w14:textId="77777777" w:rsidR="00242906" w:rsidRPr="00FB3CD6" w:rsidRDefault="00242906" w:rsidP="00984108"/>
    <w:p w14:paraId="1E89076D" w14:textId="25966215" w:rsidR="00984108" w:rsidRPr="00984108" w:rsidRDefault="00984108" w:rsidP="00984108">
      <w:pPr>
        <w:rPr>
          <w:b/>
          <w:bCs/>
          <w:sz w:val="28"/>
          <w:szCs w:val="28"/>
        </w:rPr>
      </w:pPr>
      <w:r w:rsidRPr="00984108">
        <w:rPr>
          <w:b/>
          <w:bCs/>
          <w:sz w:val="28"/>
          <w:szCs w:val="28"/>
        </w:rPr>
        <w:t>What can you do to prevent hip fractures?</w:t>
      </w:r>
    </w:p>
    <w:p w14:paraId="1ADCBC4B" w14:textId="77777777" w:rsidR="00984108" w:rsidRPr="00984108" w:rsidRDefault="00984108" w:rsidP="00984108">
      <w:r w:rsidRPr="00984108">
        <w:t>You can prevent hip fractures by taking steps to strengthen your bones and prevent falls:</w:t>
      </w:r>
    </w:p>
    <w:p w14:paraId="563F6CB8" w14:textId="77777777" w:rsidR="00984108" w:rsidRPr="00984108" w:rsidRDefault="00984108" w:rsidP="00984108">
      <w:pPr>
        <w:rPr>
          <w:b/>
          <w:bCs/>
        </w:rPr>
      </w:pPr>
      <w:r w:rsidRPr="00984108">
        <w:rPr>
          <w:b/>
          <w:bCs/>
        </w:rPr>
        <w:t>Talk to Your Doctor</w:t>
      </w:r>
    </w:p>
    <w:p w14:paraId="5A3AA77C" w14:textId="77777777" w:rsidR="00984108" w:rsidRPr="00984108" w:rsidRDefault="00984108" w:rsidP="00984108">
      <w:pPr>
        <w:numPr>
          <w:ilvl w:val="0"/>
          <w:numId w:val="3"/>
        </w:numPr>
      </w:pPr>
      <w:r w:rsidRPr="00984108">
        <w:t>Ask your doctor or healthcare provider to </w:t>
      </w:r>
      <w:r w:rsidRPr="00984108">
        <w:rPr>
          <w:b/>
          <w:bCs/>
        </w:rPr>
        <w:t>evaluate your risk</w:t>
      </w:r>
      <w:r w:rsidRPr="00984108">
        <w:t> for falling and talk with them about specific things you can do.</w:t>
      </w:r>
    </w:p>
    <w:p w14:paraId="17381551" w14:textId="77777777" w:rsidR="00984108" w:rsidRPr="00984108" w:rsidRDefault="00984108" w:rsidP="00984108">
      <w:pPr>
        <w:numPr>
          <w:ilvl w:val="0"/>
          <w:numId w:val="3"/>
        </w:numPr>
      </w:pPr>
      <w:r w:rsidRPr="00984108">
        <w:t>Ask your doctor or pharmacist to </w:t>
      </w:r>
      <w:r w:rsidRPr="00984108">
        <w:rPr>
          <w:b/>
          <w:bCs/>
        </w:rPr>
        <w:t>review your medicines</w:t>
      </w:r>
      <w:r w:rsidRPr="00984108">
        <w:t> to see if any might make you dizzy or sleepy. This should include prescription medicines and over-the counter medicines.</w:t>
      </w:r>
    </w:p>
    <w:p w14:paraId="5D969306" w14:textId="77777777" w:rsidR="00984108" w:rsidRPr="00984108" w:rsidRDefault="00984108" w:rsidP="00984108">
      <w:pPr>
        <w:numPr>
          <w:ilvl w:val="0"/>
          <w:numId w:val="3"/>
        </w:numPr>
      </w:pPr>
      <w:r w:rsidRPr="00984108">
        <w:t>Ask your doctor or healthcare provider about taking </w:t>
      </w:r>
      <w:r w:rsidRPr="00984108">
        <w:rPr>
          <w:b/>
          <w:bCs/>
        </w:rPr>
        <w:t>vitamin D</w:t>
      </w:r>
      <w:r w:rsidRPr="00984108">
        <w:t> supplements.</w:t>
      </w:r>
    </w:p>
    <w:p w14:paraId="4F68F8AA" w14:textId="77777777" w:rsidR="00984108" w:rsidRPr="00984108" w:rsidRDefault="00984108" w:rsidP="00984108">
      <w:pPr>
        <w:rPr>
          <w:b/>
          <w:bCs/>
        </w:rPr>
      </w:pPr>
      <w:r w:rsidRPr="00984108">
        <w:rPr>
          <w:b/>
          <w:bCs/>
        </w:rPr>
        <w:t>Get Screened for Osteoporosis</w:t>
      </w:r>
    </w:p>
    <w:p w14:paraId="09187498" w14:textId="77777777" w:rsidR="00984108" w:rsidRPr="00984108" w:rsidRDefault="00984108" w:rsidP="00984108">
      <w:r w:rsidRPr="00984108">
        <w:t>Get screened for osteoporosis and treated if needed.</w:t>
      </w:r>
    </w:p>
    <w:p w14:paraId="76999FE1" w14:textId="77777777" w:rsidR="00984108" w:rsidRPr="00984108" w:rsidRDefault="00984108" w:rsidP="00984108">
      <w:pPr>
        <w:rPr>
          <w:b/>
          <w:bCs/>
        </w:rPr>
      </w:pPr>
      <w:r w:rsidRPr="00984108">
        <w:rPr>
          <w:b/>
          <w:bCs/>
        </w:rPr>
        <w:t>Do Strength and Balance Exercises</w:t>
      </w:r>
    </w:p>
    <w:p w14:paraId="7E9775EB" w14:textId="77777777" w:rsidR="00984108" w:rsidRPr="00984108" w:rsidRDefault="00984108" w:rsidP="00984108">
      <w:r w:rsidRPr="00984108">
        <w:t>Do exercises that make your legs stronger and improve your balance. Tai Chi is a good example of this kind of exercise.</w:t>
      </w:r>
    </w:p>
    <w:p w14:paraId="4954E4F4" w14:textId="77777777" w:rsidR="00242906" w:rsidRDefault="00242906" w:rsidP="00984108">
      <w:pPr>
        <w:rPr>
          <w:b/>
          <w:bCs/>
        </w:rPr>
      </w:pPr>
    </w:p>
    <w:p w14:paraId="2D178E60" w14:textId="77777777" w:rsidR="00242906" w:rsidRDefault="00242906" w:rsidP="00984108">
      <w:pPr>
        <w:rPr>
          <w:b/>
          <w:bCs/>
        </w:rPr>
      </w:pPr>
    </w:p>
    <w:p w14:paraId="3A441F6F" w14:textId="77777777" w:rsidR="00242906" w:rsidRDefault="00242906" w:rsidP="00984108">
      <w:pPr>
        <w:rPr>
          <w:b/>
          <w:bCs/>
        </w:rPr>
      </w:pPr>
    </w:p>
    <w:p w14:paraId="22E94A80" w14:textId="7BBDC539" w:rsidR="00984108" w:rsidRPr="00984108" w:rsidRDefault="00984108" w:rsidP="00984108">
      <w:pPr>
        <w:rPr>
          <w:b/>
          <w:bCs/>
        </w:rPr>
      </w:pPr>
      <w:r w:rsidRPr="00984108">
        <w:rPr>
          <w:b/>
          <w:bCs/>
        </w:rPr>
        <w:lastRenderedPageBreak/>
        <w:t>Have Your Eyes Checked</w:t>
      </w:r>
    </w:p>
    <w:p w14:paraId="6ADBCC97" w14:textId="77777777" w:rsidR="00984108" w:rsidRPr="00984108" w:rsidRDefault="00984108" w:rsidP="00984108">
      <w:r w:rsidRPr="00984108">
        <w:t>Have your eyes checked by an eye doctor at least once a year, and be sure to update your eyeglasses if needed.</w:t>
      </w:r>
    </w:p>
    <w:p w14:paraId="0D44B0A0" w14:textId="77777777" w:rsidR="00984108" w:rsidRPr="00984108" w:rsidRDefault="00984108" w:rsidP="00984108">
      <w:r w:rsidRPr="00984108">
        <w:t>It you have bifocal or progressive lenses, you may want to get a pair of glasses with only your distance prescription for outdoor activities, such as walking. Sometimes these types of lenses can make things seem closer or farther away than they really are.</w:t>
      </w:r>
    </w:p>
    <w:p w14:paraId="57EC46AC" w14:textId="77777777" w:rsidR="00984108" w:rsidRPr="00984108" w:rsidRDefault="00984108" w:rsidP="00984108">
      <w:pPr>
        <w:rPr>
          <w:b/>
          <w:bCs/>
        </w:rPr>
      </w:pPr>
      <w:r w:rsidRPr="00984108">
        <w:rPr>
          <w:b/>
          <w:bCs/>
        </w:rPr>
        <w:t>Make Your Home Safer</w:t>
      </w:r>
    </w:p>
    <w:p w14:paraId="1E600D20" w14:textId="77777777" w:rsidR="00984108" w:rsidRPr="00984108" w:rsidRDefault="00984108" w:rsidP="00984108">
      <w:pPr>
        <w:numPr>
          <w:ilvl w:val="0"/>
          <w:numId w:val="4"/>
        </w:numPr>
      </w:pPr>
      <w:r w:rsidRPr="00984108">
        <w:t>Get rid of things you could trip over.</w:t>
      </w:r>
    </w:p>
    <w:p w14:paraId="65E459E4" w14:textId="77777777" w:rsidR="00984108" w:rsidRPr="00984108" w:rsidRDefault="00984108" w:rsidP="00984108">
      <w:pPr>
        <w:numPr>
          <w:ilvl w:val="0"/>
          <w:numId w:val="4"/>
        </w:numPr>
      </w:pPr>
      <w:r w:rsidRPr="00984108">
        <w:t>Add grab bars inside and outside your tub or shower and next to the toilet.</w:t>
      </w:r>
    </w:p>
    <w:p w14:paraId="045974CC" w14:textId="77777777" w:rsidR="00984108" w:rsidRPr="00984108" w:rsidRDefault="00984108" w:rsidP="00984108">
      <w:pPr>
        <w:numPr>
          <w:ilvl w:val="0"/>
          <w:numId w:val="4"/>
        </w:numPr>
      </w:pPr>
      <w:r w:rsidRPr="00984108">
        <w:t>Put railings on both sides of stairs.</w:t>
      </w:r>
    </w:p>
    <w:p w14:paraId="76E257F9" w14:textId="77777777" w:rsidR="00984108" w:rsidRPr="00984108" w:rsidRDefault="00984108" w:rsidP="00984108">
      <w:pPr>
        <w:numPr>
          <w:ilvl w:val="0"/>
          <w:numId w:val="4"/>
        </w:numPr>
      </w:pPr>
      <w:r w:rsidRPr="00984108">
        <w:t>Make sure your home has lots of light by adding more or brighter light bulbs.</w:t>
      </w:r>
    </w:p>
    <w:p w14:paraId="2BA0AEF4" w14:textId="2CC4AAE6" w:rsidR="00984108" w:rsidRDefault="00FB3CD6" w:rsidP="00984108">
      <w:hyperlink r:id="rId8" w:history="1">
        <w:r w:rsidRPr="00E75330">
          <w:rPr>
            <w:rStyle w:val="Hyperlink"/>
          </w:rPr>
          <w:t>https://www.cdc.gov/homeandrecreationalsafety/falls/adulthipfx.html</w:t>
        </w:r>
      </w:hyperlink>
    </w:p>
    <w:p w14:paraId="72F1EC5D" w14:textId="77777777" w:rsidR="00FB3CD6" w:rsidRPr="00984108" w:rsidRDefault="00FB3CD6" w:rsidP="00984108"/>
    <w:sectPr w:rsidR="00FB3CD6" w:rsidRPr="00984108" w:rsidSect="00FB3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670D"/>
    <w:multiLevelType w:val="multilevel"/>
    <w:tmpl w:val="4CA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01002"/>
    <w:multiLevelType w:val="multilevel"/>
    <w:tmpl w:val="8CB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A6C63"/>
    <w:multiLevelType w:val="multilevel"/>
    <w:tmpl w:val="8CB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C5862"/>
    <w:multiLevelType w:val="multilevel"/>
    <w:tmpl w:val="8CB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08"/>
    <w:rsid w:val="00242906"/>
    <w:rsid w:val="00984108"/>
    <w:rsid w:val="00AD7BC4"/>
    <w:rsid w:val="00FB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BE2"/>
  <w15:chartTrackingRefBased/>
  <w15:docId w15:val="{6AB47487-D453-42C7-9D86-CA48C4C7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108"/>
    <w:rPr>
      <w:color w:val="0563C1" w:themeColor="hyperlink"/>
      <w:u w:val="single"/>
    </w:rPr>
  </w:style>
  <w:style w:type="character" w:styleId="UnresolvedMention">
    <w:name w:val="Unresolved Mention"/>
    <w:basedOn w:val="DefaultParagraphFont"/>
    <w:uiPriority w:val="99"/>
    <w:semiHidden/>
    <w:unhideWhenUsed/>
    <w:rsid w:val="00984108"/>
    <w:rPr>
      <w:color w:val="605E5C"/>
      <w:shd w:val="clear" w:color="auto" w:fill="E1DFDD"/>
    </w:rPr>
  </w:style>
  <w:style w:type="paragraph" w:styleId="ListParagraph">
    <w:name w:val="List Paragraph"/>
    <w:basedOn w:val="Normal"/>
    <w:uiPriority w:val="34"/>
    <w:qFormat/>
    <w:rsid w:val="0098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10087">
      <w:bodyDiv w:val="1"/>
      <w:marLeft w:val="0"/>
      <w:marRight w:val="0"/>
      <w:marTop w:val="0"/>
      <w:marBottom w:val="0"/>
      <w:divBdr>
        <w:top w:val="none" w:sz="0" w:space="0" w:color="auto"/>
        <w:left w:val="none" w:sz="0" w:space="0" w:color="auto"/>
        <w:bottom w:val="none" w:sz="0" w:space="0" w:color="auto"/>
        <w:right w:val="none" w:sz="0" w:space="0" w:color="auto"/>
      </w:divBdr>
      <w:divsChild>
        <w:div w:id="1154564346">
          <w:marLeft w:val="-225"/>
          <w:marRight w:val="-225"/>
          <w:marTop w:val="0"/>
          <w:marBottom w:val="0"/>
          <w:divBdr>
            <w:top w:val="none" w:sz="0" w:space="0" w:color="auto"/>
            <w:left w:val="none" w:sz="0" w:space="0" w:color="auto"/>
            <w:bottom w:val="none" w:sz="0" w:space="0" w:color="auto"/>
            <w:right w:val="none" w:sz="0" w:space="0" w:color="auto"/>
          </w:divBdr>
          <w:divsChild>
            <w:div w:id="1976598390">
              <w:marLeft w:val="0"/>
              <w:marRight w:val="0"/>
              <w:marTop w:val="0"/>
              <w:marBottom w:val="0"/>
              <w:divBdr>
                <w:top w:val="none" w:sz="0" w:space="0" w:color="auto"/>
                <w:left w:val="none" w:sz="0" w:space="0" w:color="auto"/>
                <w:bottom w:val="none" w:sz="0" w:space="0" w:color="auto"/>
                <w:right w:val="none" w:sz="0" w:space="0" w:color="auto"/>
              </w:divBdr>
            </w:div>
            <w:div w:id="1635404807">
              <w:marLeft w:val="0"/>
              <w:marRight w:val="0"/>
              <w:marTop w:val="0"/>
              <w:marBottom w:val="0"/>
              <w:divBdr>
                <w:top w:val="none" w:sz="0" w:space="0" w:color="auto"/>
                <w:left w:val="none" w:sz="0" w:space="0" w:color="auto"/>
                <w:bottom w:val="none" w:sz="0" w:space="0" w:color="auto"/>
                <w:right w:val="none" w:sz="0" w:space="0" w:color="auto"/>
              </w:divBdr>
            </w:div>
          </w:divsChild>
        </w:div>
        <w:div w:id="314065146">
          <w:marLeft w:val="-225"/>
          <w:marRight w:val="-225"/>
          <w:marTop w:val="0"/>
          <w:marBottom w:val="0"/>
          <w:divBdr>
            <w:top w:val="none" w:sz="0" w:space="0" w:color="auto"/>
            <w:left w:val="none" w:sz="0" w:space="0" w:color="auto"/>
            <w:bottom w:val="none" w:sz="0" w:space="0" w:color="auto"/>
            <w:right w:val="none" w:sz="0" w:space="0" w:color="auto"/>
          </w:divBdr>
          <w:divsChild>
            <w:div w:id="1091464835">
              <w:marLeft w:val="0"/>
              <w:marRight w:val="0"/>
              <w:marTop w:val="0"/>
              <w:marBottom w:val="0"/>
              <w:divBdr>
                <w:top w:val="none" w:sz="0" w:space="0" w:color="auto"/>
                <w:left w:val="none" w:sz="0" w:space="0" w:color="auto"/>
                <w:bottom w:val="none" w:sz="0" w:space="0" w:color="auto"/>
                <w:right w:val="none" w:sz="0" w:space="0" w:color="auto"/>
              </w:divBdr>
            </w:div>
            <w:div w:id="898587918">
              <w:marLeft w:val="0"/>
              <w:marRight w:val="0"/>
              <w:marTop w:val="0"/>
              <w:marBottom w:val="0"/>
              <w:divBdr>
                <w:top w:val="none" w:sz="0" w:space="0" w:color="auto"/>
                <w:left w:val="none" w:sz="0" w:space="0" w:color="auto"/>
                <w:bottom w:val="none" w:sz="0" w:space="0" w:color="auto"/>
                <w:right w:val="none" w:sz="0" w:space="0" w:color="auto"/>
              </w:divBdr>
            </w:div>
          </w:divsChild>
        </w:div>
        <w:div w:id="1822651626">
          <w:marLeft w:val="-225"/>
          <w:marRight w:val="-225"/>
          <w:marTop w:val="0"/>
          <w:marBottom w:val="0"/>
          <w:divBdr>
            <w:top w:val="none" w:sz="0" w:space="0" w:color="auto"/>
            <w:left w:val="none" w:sz="0" w:space="0" w:color="auto"/>
            <w:bottom w:val="none" w:sz="0" w:space="0" w:color="auto"/>
            <w:right w:val="none" w:sz="0" w:space="0" w:color="auto"/>
          </w:divBdr>
          <w:divsChild>
            <w:div w:id="1183783623">
              <w:marLeft w:val="0"/>
              <w:marRight w:val="0"/>
              <w:marTop w:val="0"/>
              <w:marBottom w:val="0"/>
              <w:divBdr>
                <w:top w:val="none" w:sz="0" w:space="0" w:color="auto"/>
                <w:left w:val="none" w:sz="0" w:space="0" w:color="auto"/>
                <w:bottom w:val="none" w:sz="0" w:space="0" w:color="auto"/>
                <w:right w:val="none" w:sz="0" w:space="0" w:color="auto"/>
              </w:divBdr>
            </w:div>
            <w:div w:id="1509903258">
              <w:marLeft w:val="0"/>
              <w:marRight w:val="0"/>
              <w:marTop w:val="0"/>
              <w:marBottom w:val="0"/>
              <w:divBdr>
                <w:top w:val="none" w:sz="0" w:space="0" w:color="auto"/>
                <w:left w:val="none" w:sz="0" w:space="0" w:color="auto"/>
                <w:bottom w:val="none" w:sz="0" w:space="0" w:color="auto"/>
                <w:right w:val="none" w:sz="0" w:space="0" w:color="auto"/>
              </w:divBdr>
            </w:div>
          </w:divsChild>
        </w:div>
        <w:div w:id="970548795">
          <w:marLeft w:val="-225"/>
          <w:marRight w:val="-225"/>
          <w:marTop w:val="0"/>
          <w:marBottom w:val="0"/>
          <w:divBdr>
            <w:top w:val="none" w:sz="0" w:space="0" w:color="auto"/>
            <w:left w:val="none" w:sz="0" w:space="0" w:color="auto"/>
            <w:bottom w:val="none" w:sz="0" w:space="0" w:color="auto"/>
            <w:right w:val="none" w:sz="0" w:space="0" w:color="auto"/>
          </w:divBdr>
          <w:divsChild>
            <w:div w:id="1308050519">
              <w:marLeft w:val="0"/>
              <w:marRight w:val="0"/>
              <w:marTop w:val="0"/>
              <w:marBottom w:val="0"/>
              <w:divBdr>
                <w:top w:val="none" w:sz="0" w:space="0" w:color="auto"/>
                <w:left w:val="none" w:sz="0" w:space="0" w:color="auto"/>
                <w:bottom w:val="none" w:sz="0" w:space="0" w:color="auto"/>
                <w:right w:val="none" w:sz="0" w:space="0" w:color="auto"/>
              </w:divBdr>
            </w:div>
            <w:div w:id="1643071051">
              <w:marLeft w:val="0"/>
              <w:marRight w:val="0"/>
              <w:marTop w:val="0"/>
              <w:marBottom w:val="0"/>
              <w:divBdr>
                <w:top w:val="none" w:sz="0" w:space="0" w:color="auto"/>
                <w:left w:val="none" w:sz="0" w:space="0" w:color="auto"/>
                <w:bottom w:val="none" w:sz="0" w:space="0" w:color="auto"/>
                <w:right w:val="none" w:sz="0" w:space="0" w:color="auto"/>
              </w:divBdr>
            </w:div>
          </w:divsChild>
        </w:div>
        <w:div w:id="56510930">
          <w:marLeft w:val="-225"/>
          <w:marRight w:val="-225"/>
          <w:marTop w:val="0"/>
          <w:marBottom w:val="0"/>
          <w:divBdr>
            <w:top w:val="none" w:sz="0" w:space="0" w:color="auto"/>
            <w:left w:val="none" w:sz="0" w:space="0" w:color="auto"/>
            <w:bottom w:val="none" w:sz="0" w:space="0" w:color="auto"/>
            <w:right w:val="none" w:sz="0" w:space="0" w:color="auto"/>
          </w:divBdr>
          <w:divsChild>
            <w:div w:id="2126263676">
              <w:marLeft w:val="0"/>
              <w:marRight w:val="0"/>
              <w:marTop w:val="0"/>
              <w:marBottom w:val="0"/>
              <w:divBdr>
                <w:top w:val="none" w:sz="0" w:space="0" w:color="auto"/>
                <w:left w:val="none" w:sz="0" w:space="0" w:color="auto"/>
                <w:bottom w:val="none" w:sz="0" w:space="0" w:color="auto"/>
                <w:right w:val="none" w:sz="0" w:space="0" w:color="auto"/>
              </w:divBdr>
            </w:div>
            <w:div w:id="20206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908">
      <w:bodyDiv w:val="1"/>
      <w:marLeft w:val="0"/>
      <w:marRight w:val="0"/>
      <w:marTop w:val="0"/>
      <w:marBottom w:val="0"/>
      <w:divBdr>
        <w:top w:val="none" w:sz="0" w:space="0" w:color="auto"/>
        <w:left w:val="none" w:sz="0" w:space="0" w:color="auto"/>
        <w:bottom w:val="none" w:sz="0" w:space="0" w:color="auto"/>
        <w:right w:val="none" w:sz="0" w:space="0" w:color="auto"/>
      </w:divBdr>
    </w:div>
    <w:div w:id="1910921251">
      <w:bodyDiv w:val="1"/>
      <w:marLeft w:val="0"/>
      <w:marRight w:val="0"/>
      <w:marTop w:val="0"/>
      <w:marBottom w:val="0"/>
      <w:divBdr>
        <w:top w:val="none" w:sz="0" w:space="0" w:color="auto"/>
        <w:left w:val="none" w:sz="0" w:space="0" w:color="auto"/>
        <w:bottom w:val="none" w:sz="0" w:space="0" w:color="auto"/>
        <w:right w:val="none" w:sz="0" w:space="0" w:color="auto"/>
      </w:divBdr>
    </w:div>
    <w:div w:id="19171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omeandrecreationalsafety/falls/adulthipfx.html" TargetMode="External"/><Relationship Id="rId3" Type="http://schemas.openxmlformats.org/officeDocument/2006/relationships/settings" Target="settings.xml"/><Relationship Id="rId7" Type="http://schemas.openxmlformats.org/officeDocument/2006/relationships/hyperlink" Target="http://www.floridahealth.gov/statistics-and-data/florida-injury-surveillance-system/_documents/older-adult-falls-emphasis-report-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injury/features/older-adult-falls/index.html" TargetMode="External"/><Relationship Id="rId5" Type="http://schemas.openxmlformats.org/officeDocument/2006/relationships/hyperlink" Target="https://www.cdc.gov/homeandrecreationalsafety/falls/adulthipf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2021-11-17T14:20:00Z</dcterms:created>
  <dcterms:modified xsi:type="dcterms:W3CDTF">2021-11-17T14:31:00Z</dcterms:modified>
</cp:coreProperties>
</file>